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tbl>
      <w:tblPr>
        <w:tblStyle w:val="Style_1"/>
        <w:tblBorders>
          <w:top w:color="008000" w:sz="6" w:val="wave"/>
          <w:left w:color="008000" w:sz="6" w:val="wave"/>
          <w:bottom w:color="008000" w:sz="6" w:val="wave"/>
          <w:right w:color="008000" w:sz="6" w:val="wave"/>
          <w:insideH w:color="008000" w:sz="6" w:val="wave"/>
          <w:insideV w:color="008000" w:sz="6" w:val="wave"/>
        </w:tblBorders>
        <w:tblLayout w:type="fixed"/>
      </w:tblPr>
      <w:tblGrid>
        <w:gridCol w:w="8243"/>
        <w:gridCol w:w="8243"/>
      </w:tblGrid>
      <w:tr>
        <w:tc>
          <w:tcPr>
            <w:tcW w:type="dxa" w:w="8243"/>
            <w:tcBorders>
              <w:top w:color="008000" w:sz="6" w:val="wave"/>
              <w:left w:color="008000" w:sz="6" w:val="wave"/>
              <w:bottom w:color="008000" w:sz="6" w:val="wave"/>
              <w:right w:color="008000" w:sz="6" w:val="wave"/>
            </w:tcBorders>
          </w:tcPr>
          <w:p w14:paraId="01000000">
            <w:pPr>
              <w:tabs>
                <w:tab w:leader="none" w:pos="10035" w:val="left"/>
              </w:tabs>
              <w:spacing w:after="120" w:line="240" w:lineRule="auto"/>
              <w:ind/>
              <w:jc w:val="center"/>
              <w:rPr>
                <w:rFonts w:ascii="Times New Roman" w:hAnsi="Times New Roman"/>
                <w:color w:val="008000"/>
                <w:sz w:val="40"/>
              </w:rPr>
            </w:pPr>
            <w:r>
              <w:rPr>
                <w:rFonts w:ascii="Times New Roman" w:hAnsi="Times New Roman"/>
                <w:color w:val="008000"/>
                <w:sz w:val="40"/>
              </w:rPr>
              <w:t>Попробуйте объяснить детям несколько простых правил:</w:t>
            </w:r>
          </w:p>
          <w:p w14:paraId="02000000">
            <w:pPr>
              <w:numPr>
                <w:ilvl w:val="0"/>
                <w:numId w:val="1"/>
              </w:num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Не знакомиться с посторонними людьми и не сообщать свои личные данные (адрес и телефон).</w:t>
            </w:r>
          </w:p>
          <w:p w14:paraId="03000000">
            <w:pPr>
              <w:numPr>
                <w:ilvl w:val="0"/>
                <w:numId w:val="1"/>
              </w:num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Никогда не открывать двери своей квартиры незнакомым людям!</w:t>
            </w:r>
          </w:p>
          <w:p w14:paraId="04000000">
            <w:pPr>
              <w:numPr>
                <w:ilvl w:val="0"/>
                <w:numId w:val="1"/>
              </w:num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Не соглашаться никуда идти и не садиться в машину, если какой-то взрослый (мужчина, женщина или ребенок старшего возраста)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  <w:p w14:paraId="05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8"/>
              </w:rPr>
              <w:t>предлагает что-то (сладости, животных, поработать, сфотографироваться, прокатиться и т.д)</w:t>
            </w:r>
            <w:r>
              <w:rPr>
                <w:rFonts w:ascii="Times New Roman" w:hAnsi="Times New Roman"/>
                <w:color w:val="000000"/>
                <w:sz w:val="28"/>
              </w:rPr>
              <w:t>.</w:t>
            </w:r>
          </w:p>
          <w:p w14:paraId="06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8"/>
              </w:rPr>
              <w:t>просит помощи (опустить письмо в ящик, помочь подержать вещи человека, которому стало плохо, к просьбам подойти к машине и показать дорогу, помочь с работой во дворе, помочь поискать пропавшего щенка и т.д)</w:t>
            </w:r>
          </w:p>
          <w:p w14:paraId="07000000">
            <w:pPr>
              <w:numPr>
                <w:ilvl w:val="0"/>
                <w:numId w:val="1"/>
              </w:num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Не гулять в потенциально опасных местах (стройка, пустырь, гаражи) и не задерживаться на улице до темноты. </w:t>
            </w:r>
          </w:p>
          <w:p w14:paraId="08000000">
            <w:pPr>
              <w:numPr>
                <w:ilvl w:val="0"/>
                <w:numId w:val="1"/>
              </w:num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Если незнакомец настаивает, тянет за руку, нужно приложить все силы, чтобы вырваться, громко закричать и позвать на помощь!</w:t>
            </w:r>
          </w:p>
          <w:p w14:paraId="09000000">
            <w:pPr>
              <w:tabs>
                <w:tab w:leader="none" w:pos="10035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        </w:t>
            </w:r>
            <w:r>
              <w:rPr>
                <w:rFonts w:ascii="Times New Roman" w:hAnsi="Times New Roman"/>
                <w:color w:val="000000"/>
                <w:sz w:val="28"/>
              </w:rPr>
              <w:t>Детям часто говорят – «нельзя разговаривать с незнакомцами» или «держись подальше от незнакомцев». Но, если ребенок потерялся и рядом с ним нет никого из в</w:t>
            </w:r>
            <w:r>
              <w:rPr>
                <w:rFonts w:ascii="Times New Roman" w:hAnsi="Times New Roman"/>
                <w:color w:val="000000"/>
                <w:sz w:val="28"/>
              </w:rPr>
              <w:t>зрослых, которому он мог бы доверять, любой человек является для него незнакомцем. Как ваш ребенок сможет найти помощь, если он вообще не будет разговаривать с незнакомыми ему людьми?</w:t>
            </w:r>
          </w:p>
          <w:p w14:paraId="0A000000">
            <w:pPr>
              <w:numPr>
                <w:ilvl w:val="0"/>
                <w:numId w:val="2"/>
              </w:num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Научите детей определять людей, к которым они могут обратиться за помощью, например, продавец в магазине или женщина с детьми.</w:t>
            </w:r>
          </w:p>
          <w:p w14:paraId="0B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    </w:t>
            </w:r>
            <w:r>
              <w:rPr>
                <w:rFonts w:ascii="Times New Roman" w:hAnsi="Times New Roman"/>
                <w:color w:val="000000"/>
                <w:sz w:val="28"/>
              </w:rPr>
              <w:t>Убедите ваших детей в том, что не случится ничего страшного, если они «перестараются» и ошибутся! Это – часть процесса их обучения.</w:t>
            </w:r>
          </w:p>
        </w:tc>
        <w:tc>
          <w:tcPr>
            <w:tcW w:type="dxa" w:w="8243"/>
            <w:tcBorders>
              <w:top w:color="008000" w:sz="6" w:val="wave"/>
              <w:left w:color="008000" w:sz="6" w:val="wave"/>
              <w:bottom w:color="008000" w:sz="6" w:val="wave"/>
              <w:right w:color="008000" w:sz="6" w:val="wave"/>
            </w:tcBorders>
          </w:tcPr>
          <w:p w14:paraId="0C000000">
            <w:pPr>
              <w:tabs>
                <w:tab w:leader="none" w:pos="10035" w:val="left"/>
              </w:tabs>
              <w:spacing w:after="120" w:before="120"/>
              <w:ind/>
              <w:jc w:val="center"/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Муниципальное автономное дошкольное образовательное учреждение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 xml:space="preserve"> Боровский детский сад «Журавушка»</w:t>
            </w:r>
          </w:p>
          <w:p w14:paraId="0D000000">
            <w:pPr>
              <w:tabs>
                <w:tab w:leader="none" w:pos="2925" w:val="left"/>
              </w:tabs>
              <w:ind/>
              <w:jc w:val="center"/>
              <w:rPr>
                <w:rFonts w:ascii="Times New Roman" w:hAnsi="Times New Roman"/>
                <w:b w:val="1"/>
                <w:color w:val="008000"/>
                <w:sz w:val="40"/>
              </w:rPr>
            </w:pPr>
            <w:r>
              <w:rPr>
                <w:rFonts w:ascii="Times New Roman" w:hAnsi="Times New Roman"/>
                <w:b w:val="1"/>
                <w:color w:val="008000"/>
                <w:sz w:val="40"/>
              </w:rPr>
              <w:t>«Правила безопасного поведения ребенка с незнакомыми людьми»</w:t>
            </w:r>
          </w:p>
          <w:p w14:paraId="0E000000">
            <w:pPr>
              <w:tabs>
                <w:tab w:leader="none" w:pos="2925" w:val="left"/>
              </w:tabs>
              <w:ind/>
              <w:jc w:val="center"/>
              <w:rPr>
                <w:rFonts w:ascii="Times New Roman" w:hAnsi="Times New Roman"/>
                <w:sz w:val="28"/>
              </w:rPr>
            </w:pPr>
            <w:r>
              <w:drawing>
                <wp:inline>
                  <wp:extent cx="4732020" cy="5057775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1" name="Picture 1"/>
                          <pic:cNvPicPr preferRelativeResize="true"/>
                        </pic:nvPicPr>
                        <pic:blipFill>
                          <a:blip r:embed="rId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4732020" cy="50577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0F000000">
            <w:pPr>
              <w:tabs>
                <w:tab w:leader="none" w:pos="2925" w:val="left"/>
              </w:tabs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</w:tr>
    </w:tbl>
    <w:p w14:paraId="10000000">
      <w:pPr>
        <w:rPr>
          <w:sz w:val="28"/>
        </w:rPr>
      </w:pPr>
    </w:p>
    <w:p w14:paraId="11000000">
      <w:r>
        <w:drawing>
          <wp:inline>
            <wp:extent cx="10361295" cy="6858000"/>
            <wp:docPr id="4" name="Picture 4"/>
            <a:graphic>
              <a:graphicData uri="http://schemas.openxmlformats.org/drawingml/2006/picture">
                <pic:pic>
                  <pic:nvPicPr>
                    <pic:cNvPr id="3" name="Picture 3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10361295" cy="68580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2000000">
      <w:pPr>
        <w:rPr>
          <w:sz w:val="28"/>
        </w:rPr>
      </w:pPr>
      <w:r>
        <w:drawing>
          <wp:inline>
            <wp:extent cx="10285603" cy="6959727"/>
            <wp:docPr id="6" name="Picture 6"/>
            <a:graphic>
              <a:graphicData uri="http://schemas.openxmlformats.org/drawingml/2006/picture">
                <pic:pic>
                  <pic:nvPicPr>
                    <pic:cNvPr id="5" name="Picture 5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10285603" cy="6959727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h="11906" w:w="16838"/>
      <w:pgMar w:bottom="284" w:footer="709" w:gutter="0" w:header="709" w:left="284" w:right="284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">
    <w:lvl w:ilvl="0">
      <w:start w:val="1"/>
      <w:numFmt w:val="bullet"/>
      <w:lvlText w:val=""/>
      <w:lvlJc w:val="left"/>
      <w:pPr>
        <w:tabs>
          <w:tab w:leader="none" w:pos="567" w:val="left"/>
        </w:tabs>
        <w:ind w:firstLine="0" w:left="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200" w:line="276" w:lineRule="auto"/>
      <w:ind/>
    </w:pPr>
    <w:rPr>
      <w:rFonts w:ascii="Calibri" w:hAnsi="Calibri"/>
      <w:sz w:val="22"/>
    </w:rPr>
  </w:style>
  <w:style w:default="1" w:styleId="Style_2_ch" w:type="character">
    <w:name w:val="Normal"/>
    <w:link w:val="Style_2"/>
    <w:rPr>
      <w:rFonts w:ascii="Calibri" w:hAnsi="Calibri"/>
      <w:sz w:val="22"/>
    </w:rPr>
  </w:style>
  <w:style w:styleId="Style_3" w:type="paragraph">
    <w:name w:val="toc 2"/>
    <w:next w:val="Style_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next w:val="Style_2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next w:val="Style_2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next w:val="Style_2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next w:val="Style_2"/>
    <w:link w:val="Style_7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7_ch" w:type="character">
    <w:name w:val="heading 3"/>
    <w:link w:val="Style_7"/>
    <w:rPr>
      <w:rFonts w:ascii="XO Thames" w:hAnsi="XO Thames"/>
      <w:b w:val="1"/>
      <w:i w:val="1"/>
      <w:color w:val="000000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2"/>
    <w:link w:val="Style_9_ch"/>
    <w:uiPriority w:val="39"/>
    <w:pPr>
      <w:ind w:firstLine="0" w:left="400"/>
    </w:pPr>
  </w:style>
  <w:style w:styleId="Style_9_ch" w:type="character">
    <w:name w:val="toc 3"/>
    <w:link w:val="Style_9"/>
  </w:style>
  <w:style w:styleId="Style_10" w:type="paragraph">
    <w:name w:val="rtejustify"/>
    <w:basedOn w:val="Style_2"/>
    <w:link w:val="Style_10_ch"/>
    <w:pPr>
      <w:spacing w:afterAutospacing="on" w:beforeAutospacing="on"/>
      <w:ind/>
    </w:pPr>
  </w:style>
  <w:style w:styleId="Style_10_ch" w:type="character">
    <w:name w:val="rtejustify"/>
    <w:basedOn w:val="Style_2_ch"/>
    <w:link w:val="Style_10"/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1_ch" w:type="character">
    <w:name w:val="heading 5"/>
    <w:link w:val="Style_11"/>
    <w:rPr>
      <w:rFonts w:ascii="XO Thames" w:hAnsi="XO Thames"/>
      <w:b w:val="1"/>
      <w:color w:val="000000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8"/>
    <w:link w:val="Style_13_ch"/>
    <w:rPr>
      <w:color w:val="0000FF"/>
      <w:u w:val="single"/>
    </w:rPr>
  </w:style>
  <w:style w:styleId="Style_13_ch" w:type="character">
    <w:name w:val="Hyperlink"/>
    <w:basedOn w:val="Style_8_ch"/>
    <w:link w:val="Style_13"/>
    <w:rPr>
      <w:color w:val="0000FF"/>
      <w:u w:val="single"/>
    </w:rPr>
  </w:style>
  <w:style w:styleId="Style_14" w:type="paragraph">
    <w:name w:val="Footnote"/>
    <w:link w:val="Style_14_ch"/>
    <w:pPr>
      <w:ind/>
      <w:jc w:val="left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</w:pPr>
    <w:rPr>
      <w:rFonts w:ascii="XO Thames" w:hAnsi="XO Thames"/>
      <w:b w:val="1"/>
    </w:rPr>
  </w:style>
  <w:style w:styleId="Style_15_ch" w:type="character">
    <w:name w:val="toc 1"/>
    <w:link w:val="Style_15"/>
    <w:rPr>
      <w:rFonts w:ascii="XO Thames" w:hAnsi="XO Thames"/>
      <w:b w:val="1"/>
    </w:rPr>
  </w:style>
  <w:style w:styleId="Style_16" w:type="paragraph">
    <w:name w:val="Header and Footer"/>
    <w:link w:val="Style_16_ch"/>
    <w:pPr>
      <w:spacing w:line="360" w:lineRule="auto"/>
      <w:ind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2"/>
    <w:link w:val="Style_17_ch"/>
    <w:uiPriority w:val="39"/>
    <w:pPr>
      <w:ind w:firstLine="0" w:left="1600"/>
    </w:pPr>
  </w:style>
  <w:style w:styleId="Style_17_ch" w:type="character">
    <w:name w:val="toc 9"/>
    <w:link w:val="Style_17"/>
  </w:style>
  <w:style w:styleId="Style_18" w:type="paragraph">
    <w:name w:val="toc 8"/>
    <w:next w:val="Style_2"/>
    <w:link w:val="Style_18_ch"/>
    <w:uiPriority w:val="39"/>
    <w:pPr>
      <w:ind w:firstLine="0" w:left="1400"/>
    </w:pPr>
  </w:style>
  <w:style w:styleId="Style_18_ch" w:type="character">
    <w:name w:val="toc 8"/>
    <w:link w:val="Style_18"/>
  </w:style>
  <w:style w:styleId="Style_19" w:type="paragraph">
    <w:name w:val="toc 5"/>
    <w:next w:val="Style_2"/>
    <w:link w:val="Style_19_ch"/>
    <w:uiPriority w:val="39"/>
    <w:pPr>
      <w:ind w:firstLine="0" w:left="800"/>
    </w:pPr>
  </w:style>
  <w:style w:styleId="Style_19_ch" w:type="character">
    <w:name w:val="toc 5"/>
    <w:link w:val="Style_19"/>
  </w:style>
  <w:style w:styleId="Style_20" w:type="paragraph">
    <w:name w:val="Subtitle"/>
    <w:next w:val="Style_2"/>
    <w:link w:val="Style_20_ch"/>
    <w:uiPriority w:val="11"/>
    <w:qFormat/>
    <w:rPr>
      <w:rFonts w:ascii="XO Thames" w:hAnsi="XO Thames"/>
      <w:i w:val="1"/>
      <w:color w:val="616161"/>
      <w:sz w:val="24"/>
    </w:rPr>
  </w:style>
  <w:style w:styleId="Style_20_ch" w:type="character">
    <w:name w:val="Subtitle"/>
    <w:link w:val="Style_20"/>
    <w:rPr>
      <w:rFonts w:ascii="XO Thames" w:hAnsi="XO Thames"/>
      <w:i w:val="1"/>
      <w:color w:val="616161"/>
      <w:sz w:val="24"/>
    </w:rPr>
  </w:style>
  <w:style w:styleId="Style_21" w:type="paragraph">
    <w:name w:val="toc 10"/>
    <w:next w:val="Style_2"/>
    <w:link w:val="Style_21_ch"/>
    <w:uiPriority w:val="39"/>
    <w:pPr>
      <w:ind w:firstLine="0" w:left="1800"/>
    </w:pPr>
  </w:style>
  <w:style w:styleId="Style_21_ch" w:type="character">
    <w:name w:val="toc 10"/>
    <w:link w:val="Style_21"/>
  </w:style>
  <w:style w:styleId="Style_22" w:type="paragraph">
    <w:name w:val="Title"/>
    <w:next w:val="Style_2"/>
    <w:link w:val="Style_22_ch"/>
    <w:uiPriority w:val="10"/>
    <w:qFormat/>
    <w:rPr>
      <w:rFonts w:ascii="XO Thames" w:hAnsi="XO Thames"/>
      <w:b w:val="1"/>
      <w:sz w:val="52"/>
    </w:rPr>
  </w:style>
  <w:style w:styleId="Style_22_ch" w:type="character">
    <w:name w:val="Title"/>
    <w:link w:val="Style_22"/>
    <w:rPr>
      <w:rFonts w:ascii="XO Thames" w:hAnsi="XO Thames"/>
      <w:b w:val="1"/>
      <w:sz w:val="52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3_ch" w:type="character">
    <w:name w:val="heading 4"/>
    <w:link w:val="Style_23"/>
    <w:rPr>
      <w:rFonts w:ascii="XO Thames" w:hAnsi="XO Thames"/>
      <w:b w:val="1"/>
      <w:color w:val="595959"/>
      <w:sz w:val="26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4_ch" w:type="character">
    <w:name w:val="heading 2"/>
    <w:link w:val="Style_24"/>
    <w:rPr>
      <w:rFonts w:ascii="XO Thames" w:hAnsi="XO Thames"/>
      <w:b w:val="1"/>
      <w:color w:val="00A0FF"/>
      <w:sz w:val="26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numbering.xml" Type="http://schemas.openxmlformats.org/officeDocument/2006/relationships/numbering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9" Target="theme/theme1.xml" Type="http://schemas.openxmlformats.org/officeDocument/2006/relationships/theme"/>
  <Relationship Id="rId5" Target="settings.xml" Type="http://schemas.openxmlformats.org/officeDocument/2006/relationships/settings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3" Target="media/3.png" Type="http://schemas.openxmlformats.org/officeDocument/2006/relationships/image"/>
  <Relationship Id="rId2" Target="media/2.jpeg" Type="http://schemas.openxmlformats.org/officeDocument/2006/relationships/imag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2021-08-19T06:24:45Z</dcterms:modified>
</cp:coreProperties>
</file>